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B24" w14:textId="2D18942B" w:rsidR="003450DE" w:rsidRPr="002D0D7D" w:rsidRDefault="002D0D7D" w:rsidP="002D0D7D">
      <w:pPr>
        <w:spacing w:after="0" w:line="240" w:lineRule="auto"/>
        <w:rPr>
          <w:b/>
          <w:bCs/>
        </w:rPr>
      </w:pPr>
      <w:r w:rsidRPr="002D0D7D">
        <w:rPr>
          <w:b/>
          <w:bCs/>
        </w:rPr>
        <w:t xml:space="preserve">Yukon Graylings </w:t>
      </w:r>
      <w:proofErr w:type="gramStart"/>
      <w:r w:rsidRPr="002D0D7D">
        <w:rPr>
          <w:b/>
          <w:bCs/>
        </w:rPr>
        <w:t>Masters</w:t>
      </w:r>
      <w:proofErr w:type="gramEnd"/>
      <w:r w:rsidRPr="002D0D7D">
        <w:rPr>
          <w:b/>
          <w:bCs/>
        </w:rPr>
        <w:t xml:space="preserve"> Swim Club</w:t>
      </w:r>
    </w:p>
    <w:p w14:paraId="00BC04D3" w14:textId="77777777" w:rsidR="002D0D7D" w:rsidRDefault="002D0D7D" w:rsidP="002D0D7D">
      <w:pPr>
        <w:spacing w:after="0" w:line="240" w:lineRule="auto"/>
        <w:rPr>
          <w:b/>
          <w:bCs/>
        </w:rPr>
      </w:pPr>
    </w:p>
    <w:p w14:paraId="4304AAE4" w14:textId="3776FC37" w:rsidR="002D0D7D" w:rsidRDefault="002D0D7D" w:rsidP="002D0D7D">
      <w:pPr>
        <w:spacing w:after="0" w:line="240" w:lineRule="auto"/>
        <w:rPr>
          <w:b/>
          <w:bCs/>
        </w:rPr>
      </w:pPr>
      <w:r w:rsidRPr="002D0D7D">
        <w:rPr>
          <w:b/>
          <w:bCs/>
        </w:rPr>
        <w:t xml:space="preserve">Fee Payment and </w:t>
      </w:r>
      <w:r w:rsidR="005B3BB0">
        <w:rPr>
          <w:b/>
          <w:bCs/>
        </w:rPr>
        <w:t>Refund</w:t>
      </w:r>
      <w:r w:rsidR="005B3BB0" w:rsidRPr="002D0D7D">
        <w:rPr>
          <w:b/>
          <w:bCs/>
        </w:rPr>
        <w:t xml:space="preserve"> </w:t>
      </w:r>
      <w:r w:rsidRPr="002D0D7D">
        <w:rPr>
          <w:b/>
          <w:bCs/>
        </w:rPr>
        <w:t>Policy</w:t>
      </w:r>
    </w:p>
    <w:p w14:paraId="738B05F3" w14:textId="08DC7079" w:rsidR="0083691E" w:rsidRPr="002D0D7D" w:rsidRDefault="0083691E" w:rsidP="002D0D7D">
      <w:pPr>
        <w:spacing w:after="0" w:line="240" w:lineRule="auto"/>
        <w:rPr>
          <w:b/>
          <w:bCs/>
        </w:rPr>
      </w:pPr>
      <w:r>
        <w:rPr>
          <w:b/>
          <w:bCs/>
        </w:rPr>
        <w:t>Policy Date: 14-Feb-2024</w:t>
      </w:r>
    </w:p>
    <w:p w14:paraId="7573AB13" w14:textId="77777777" w:rsidR="002D0D7D" w:rsidRDefault="002D0D7D" w:rsidP="002D0D7D">
      <w:pPr>
        <w:spacing w:after="0" w:line="240" w:lineRule="auto"/>
      </w:pPr>
    </w:p>
    <w:p w14:paraId="7D552753" w14:textId="35DA1A50" w:rsidR="002D0D7D" w:rsidRDefault="002D0D7D" w:rsidP="00010F11">
      <w:pPr>
        <w:spacing w:after="0" w:line="240" w:lineRule="auto"/>
        <w:jc w:val="both"/>
      </w:pPr>
      <w:r>
        <w:t>Purpose: the purpose of this policy is to outline how club membership fees are paid,</w:t>
      </w:r>
      <w:r w:rsidR="008008FD">
        <w:t xml:space="preserve"> and</w:t>
      </w:r>
      <w:r>
        <w:t xml:space="preserve"> the circumstances under</w:t>
      </w:r>
      <w:r w:rsidR="00A81933">
        <w:t xml:space="preserve"> </w:t>
      </w:r>
      <w:r>
        <w:t>which</w:t>
      </w:r>
      <w:r w:rsidR="00A81933">
        <w:t xml:space="preserve"> the Yukon Graylings Board of Directors (‘the Board’) will approve an application for refund of </w:t>
      </w:r>
      <w:r w:rsidR="00785156">
        <w:t xml:space="preserve">Graylings Masters Swim Club </w:t>
      </w:r>
      <w:r w:rsidR="00A81933">
        <w:t>membership fees</w:t>
      </w:r>
      <w:r w:rsidR="00010F11">
        <w:t xml:space="preserve"> (‘membership fees’ or ‘fees’)</w:t>
      </w:r>
      <w:r w:rsidR="00A81933">
        <w:t>.</w:t>
      </w:r>
    </w:p>
    <w:p w14:paraId="4D6EBA8D" w14:textId="77777777" w:rsidR="002D0D7D" w:rsidRDefault="002D0D7D" w:rsidP="00010F11">
      <w:pPr>
        <w:spacing w:after="0" w:line="240" w:lineRule="auto"/>
        <w:jc w:val="both"/>
      </w:pPr>
    </w:p>
    <w:p w14:paraId="583A4271" w14:textId="6B55962A" w:rsidR="002D0D7D" w:rsidRDefault="002D0D7D" w:rsidP="00010F11">
      <w:pPr>
        <w:spacing w:after="0" w:line="240" w:lineRule="auto"/>
        <w:jc w:val="both"/>
      </w:pPr>
      <w:r>
        <w:t>Policy:</w:t>
      </w:r>
    </w:p>
    <w:p w14:paraId="076D4E28" w14:textId="77777777" w:rsidR="002D0D7D" w:rsidRDefault="002D0D7D" w:rsidP="00010F11">
      <w:pPr>
        <w:spacing w:after="0" w:line="240" w:lineRule="auto"/>
        <w:jc w:val="both"/>
      </w:pPr>
    </w:p>
    <w:p w14:paraId="71A8FB04" w14:textId="076FDC9A" w:rsidR="002D0D7D" w:rsidRDefault="002D0D7D" w:rsidP="00010F1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Fee Payment:</w:t>
      </w:r>
    </w:p>
    <w:p w14:paraId="590B0F34" w14:textId="7836A94F" w:rsidR="002D0D7D" w:rsidRDefault="00785156" w:rsidP="00010F1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All </w:t>
      </w:r>
      <w:r w:rsidR="002D0D7D">
        <w:t>membership fees for each upcoming season, and for special events such as the Christmas Camp, will be payable in full upon registration.</w:t>
      </w:r>
    </w:p>
    <w:p w14:paraId="448BFD87" w14:textId="77777777" w:rsidR="002D0D7D" w:rsidRDefault="002D0D7D" w:rsidP="00010F1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Membership fees are paid by credit card using the payment function on the online registration tool.</w:t>
      </w:r>
    </w:p>
    <w:p w14:paraId="7B0D9308" w14:textId="77777777" w:rsidR="002D0D7D" w:rsidRDefault="002D0D7D" w:rsidP="00010F11">
      <w:pPr>
        <w:spacing w:after="0" w:line="240" w:lineRule="auto"/>
        <w:jc w:val="both"/>
      </w:pPr>
    </w:p>
    <w:p w14:paraId="21D03CFC" w14:textId="640A28DE" w:rsidR="002D0D7D" w:rsidRDefault="00785156" w:rsidP="00010F1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Graylings Master Swim Club</w:t>
      </w:r>
      <w:r w:rsidR="002D0D7D">
        <w:t xml:space="preserve"> Fee Refunds:</w:t>
      </w:r>
    </w:p>
    <w:p w14:paraId="7F81B1F4" w14:textId="77777777" w:rsidR="002D0D7D" w:rsidRDefault="002D0D7D" w:rsidP="00010F11">
      <w:pPr>
        <w:spacing w:after="0" w:line="240" w:lineRule="auto"/>
        <w:jc w:val="both"/>
      </w:pPr>
    </w:p>
    <w:p w14:paraId="4A0DC8F3" w14:textId="74CEBF83" w:rsidR="002D0D7D" w:rsidRDefault="002D0D7D" w:rsidP="00010F1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All </w:t>
      </w:r>
      <w:r w:rsidR="005524AF">
        <w:t>applications for refund should be made in writing to the Board</w:t>
      </w:r>
      <w:r w:rsidR="00C65DB0">
        <w:t xml:space="preserve"> </w:t>
      </w:r>
      <w:r w:rsidR="005524AF">
        <w:t xml:space="preserve">at </w:t>
      </w:r>
      <w:hyperlink r:id="rId5" w:history="1">
        <w:r w:rsidR="005524AF" w:rsidRPr="00831050">
          <w:rPr>
            <w:rStyle w:val="Hyperlink"/>
          </w:rPr>
          <w:t>graylingsmasters@gmail.com</w:t>
        </w:r>
      </w:hyperlink>
      <w:r w:rsidR="005524AF">
        <w:t xml:space="preserve"> </w:t>
      </w:r>
    </w:p>
    <w:p w14:paraId="6DAB48FE" w14:textId="3A95EFE3" w:rsidR="002D0D7D" w:rsidRDefault="002D0D7D" w:rsidP="00010F1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The </w:t>
      </w:r>
      <w:r w:rsidR="00A81933">
        <w:t>Board</w:t>
      </w:r>
      <w:r>
        <w:t xml:space="preserve"> </w:t>
      </w:r>
      <w:r w:rsidR="00C65DB0">
        <w:t>will review applications at the next scheduled Board meeting. Board</w:t>
      </w:r>
      <w:r w:rsidR="00A81933">
        <w:t xml:space="preserve"> </w:t>
      </w:r>
      <w:r w:rsidR="00C65DB0">
        <w:t>meetings are typically held every 4-6 weeks</w:t>
      </w:r>
      <w:r w:rsidR="00A81933">
        <w:t>. A written response either approving or rejecting the request will be sent by the Board within 24 hours of the Board meeting where the application is reviewed.</w:t>
      </w:r>
    </w:p>
    <w:p w14:paraId="3D478F55" w14:textId="4BEABBC3" w:rsidR="009067F0" w:rsidRDefault="009067F0" w:rsidP="00010F1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A</w:t>
      </w:r>
      <w:r w:rsidR="00FF7A32">
        <w:t>ll a</w:t>
      </w:r>
      <w:r>
        <w:t>pproved refunds will be paid</w:t>
      </w:r>
      <w:r w:rsidR="00FF7A32">
        <w:t xml:space="preserve"> to the member by electronic transfer</w:t>
      </w:r>
      <w:r>
        <w:t xml:space="preserve"> </w:t>
      </w:r>
      <w:r w:rsidR="00FF7A32">
        <w:t xml:space="preserve">(e-transfer) </w:t>
      </w:r>
      <w:r>
        <w:t xml:space="preserve">and cannot be used as </w:t>
      </w:r>
      <w:r w:rsidR="00FF7A32">
        <w:t xml:space="preserve">a cashless </w:t>
      </w:r>
      <w:r>
        <w:t>credit towards future season fees</w:t>
      </w:r>
      <w:r w:rsidR="00A557C8">
        <w:t>.</w:t>
      </w:r>
    </w:p>
    <w:p w14:paraId="27AFB370" w14:textId="0DFF82FF" w:rsidR="00785156" w:rsidRDefault="00785156" w:rsidP="00010F1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A processing fee of $20 will be deducted from all approved refunds.</w:t>
      </w:r>
    </w:p>
    <w:p w14:paraId="2737F13B" w14:textId="6C229700" w:rsidR="00785156" w:rsidRDefault="00010F11" w:rsidP="00010F1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The </w:t>
      </w:r>
      <w:proofErr w:type="gramStart"/>
      <w:r w:rsidR="005B3BB0">
        <w:t>Masters</w:t>
      </w:r>
      <w:proofErr w:type="gramEnd"/>
      <w:r w:rsidR="005B3BB0">
        <w:t xml:space="preserve"> Swimming BC membership fee, payable once a year, is non-refundable. </w:t>
      </w:r>
    </w:p>
    <w:p w14:paraId="15CEFE89" w14:textId="1E512D8E" w:rsidR="00A81933" w:rsidRDefault="00A81933" w:rsidP="00010F1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The Board will generally approve requests for refund</w:t>
      </w:r>
      <w:r w:rsidR="00785156">
        <w:t>s</w:t>
      </w:r>
      <w:r>
        <w:t xml:space="preserve"> </w:t>
      </w:r>
      <w:r w:rsidR="00FF7A32">
        <w:t xml:space="preserve">under </w:t>
      </w:r>
      <w:r w:rsidR="00CB13A8">
        <w:t>reasonable circumstances</w:t>
      </w:r>
      <w:r w:rsidR="00FF7A32">
        <w:t>, with refunds calculated as follows:</w:t>
      </w:r>
    </w:p>
    <w:p w14:paraId="43EEB50A" w14:textId="77777777" w:rsidR="00010F11" w:rsidRDefault="00010F11" w:rsidP="00010F11">
      <w:pPr>
        <w:spacing w:after="0" w:line="240" w:lineRule="auto"/>
        <w:ind w:left="410"/>
        <w:jc w:val="both"/>
      </w:pPr>
    </w:p>
    <w:p w14:paraId="1D8835F5" w14:textId="2DBCED77" w:rsidR="00A81933" w:rsidRDefault="00A81933" w:rsidP="00010F11">
      <w:pPr>
        <w:spacing w:after="0" w:line="240" w:lineRule="auto"/>
        <w:ind w:left="410"/>
        <w:jc w:val="both"/>
      </w:pPr>
      <w:r>
        <w:t>Regular Season Membership:</w:t>
      </w:r>
    </w:p>
    <w:p w14:paraId="077D0395" w14:textId="77777777" w:rsidR="00A81933" w:rsidRDefault="00A81933" w:rsidP="00A81933">
      <w:pPr>
        <w:spacing w:after="0" w:line="240" w:lineRule="auto"/>
        <w:ind w:left="410"/>
      </w:pPr>
    </w:p>
    <w:tbl>
      <w:tblPr>
        <w:tblStyle w:val="TableGrid"/>
        <w:tblW w:w="0" w:type="auto"/>
        <w:tblInd w:w="410" w:type="dxa"/>
        <w:tblLook w:val="04A0" w:firstRow="1" w:lastRow="0" w:firstColumn="1" w:lastColumn="0" w:noHBand="0" w:noVBand="1"/>
      </w:tblPr>
      <w:tblGrid>
        <w:gridCol w:w="2964"/>
        <w:gridCol w:w="5410"/>
      </w:tblGrid>
      <w:tr w:rsidR="00CB13A8" w14:paraId="1301BB59" w14:textId="77777777" w:rsidTr="00CB13A8">
        <w:tc>
          <w:tcPr>
            <w:tcW w:w="2964" w:type="dxa"/>
          </w:tcPr>
          <w:p w14:paraId="0D029C62" w14:textId="3269DFDA" w:rsidR="00CB13A8" w:rsidRPr="007451CA" w:rsidRDefault="00CB13A8" w:rsidP="00A81933">
            <w:pPr>
              <w:rPr>
                <w:b/>
                <w:bCs/>
              </w:rPr>
            </w:pPr>
            <w:r w:rsidRPr="007451CA">
              <w:rPr>
                <w:b/>
                <w:bCs/>
              </w:rPr>
              <w:t xml:space="preserve">Application Timing </w:t>
            </w:r>
          </w:p>
        </w:tc>
        <w:tc>
          <w:tcPr>
            <w:tcW w:w="5410" w:type="dxa"/>
          </w:tcPr>
          <w:p w14:paraId="0D911C92" w14:textId="481BAA6A" w:rsidR="00CB13A8" w:rsidRPr="007451CA" w:rsidRDefault="00CB13A8" w:rsidP="00A81933">
            <w:pPr>
              <w:rPr>
                <w:b/>
                <w:bCs/>
              </w:rPr>
            </w:pPr>
            <w:r w:rsidRPr="007451CA">
              <w:rPr>
                <w:b/>
                <w:bCs/>
              </w:rPr>
              <w:t>Refund</w:t>
            </w:r>
          </w:p>
        </w:tc>
      </w:tr>
      <w:tr w:rsidR="00CB13A8" w14:paraId="425D8A01" w14:textId="77777777" w:rsidTr="00CB13A8">
        <w:tc>
          <w:tcPr>
            <w:tcW w:w="2964" w:type="dxa"/>
          </w:tcPr>
          <w:p w14:paraId="447D028C" w14:textId="469A382F" w:rsidR="00CB13A8" w:rsidRDefault="00CB13A8" w:rsidP="00A81933">
            <w:r>
              <w:t>Within 3 days of individual registration</w:t>
            </w:r>
          </w:p>
        </w:tc>
        <w:tc>
          <w:tcPr>
            <w:tcW w:w="5410" w:type="dxa"/>
          </w:tcPr>
          <w:p w14:paraId="0CD78031" w14:textId="4F63A6FD" w:rsidR="00CB13A8" w:rsidRDefault="00CB13A8" w:rsidP="00A81933">
            <w:r>
              <w:t xml:space="preserve">100% </w:t>
            </w:r>
          </w:p>
        </w:tc>
      </w:tr>
      <w:tr w:rsidR="00CB13A8" w14:paraId="356E4777" w14:textId="77777777" w:rsidTr="00CB13A8">
        <w:tc>
          <w:tcPr>
            <w:tcW w:w="2964" w:type="dxa"/>
          </w:tcPr>
          <w:p w14:paraId="198416AB" w14:textId="2161D808" w:rsidR="00CB13A8" w:rsidRDefault="00CB13A8" w:rsidP="00A81933">
            <w:r>
              <w:t>Within 4 weeks (28 days) of season start</w:t>
            </w:r>
          </w:p>
        </w:tc>
        <w:tc>
          <w:tcPr>
            <w:tcW w:w="5410" w:type="dxa"/>
          </w:tcPr>
          <w:p w14:paraId="1E44188B" w14:textId="4A2B6FFB" w:rsidR="00CB13A8" w:rsidRDefault="00CB13A8" w:rsidP="00A81933">
            <w:r>
              <w:t>Pro rated refund calculated based on the % of the season remaining.</w:t>
            </w:r>
          </w:p>
        </w:tc>
      </w:tr>
      <w:tr w:rsidR="00CB13A8" w14:paraId="0587D8E3" w14:textId="77777777" w:rsidTr="00CB13A8">
        <w:tc>
          <w:tcPr>
            <w:tcW w:w="2964" w:type="dxa"/>
          </w:tcPr>
          <w:p w14:paraId="62B87832" w14:textId="2A4A28EA" w:rsidR="00CB13A8" w:rsidRDefault="00CB13A8" w:rsidP="00A81933">
            <w:r>
              <w:t>4 weeks or more after season start</w:t>
            </w:r>
          </w:p>
        </w:tc>
        <w:tc>
          <w:tcPr>
            <w:tcW w:w="5410" w:type="dxa"/>
          </w:tcPr>
          <w:p w14:paraId="335957BE" w14:textId="148BECCD" w:rsidR="00CB13A8" w:rsidRDefault="00CB13A8" w:rsidP="00A81933">
            <w:r>
              <w:t>None</w:t>
            </w:r>
          </w:p>
        </w:tc>
      </w:tr>
    </w:tbl>
    <w:p w14:paraId="228E3DAF" w14:textId="77777777" w:rsidR="00010F11" w:rsidRDefault="00010F11" w:rsidP="00A81933">
      <w:pPr>
        <w:spacing w:after="0" w:line="240" w:lineRule="auto"/>
        <w:ind w:left="410"/>
      </w:pPr>
    </w:p>
    <w:p w14:paraId="55ECD1D8" w14:textId="5C682632" w:rsidR="00A81933" w:rsidRDefault="00A81933" w:rsidP="00A81933">
      <w:pPr>
        <w:spacing w:after="0" w:line="240" w:lineRule="auto"/>
        <w:ind w:left="410"/>
      </w:pPr>
      <w:r>
        <w:t>Special Event Membership (e.g</w:t>
      </w:r>
      <w:r w:rsidR="008008FD">
        <w:t>.</w:t>
      </w:r>
      <w:r>
        <w:t xml:space="preserve"> Christmas Camp)</w:t>
      </w:r>
    </w:p>
    <w:p w14:paraId="5407D3EA" w14:textId="77777777" w:rsidR="008008FD" w:rsidRDefault="008008FD" w:rsidP="008008FD">
      <w:pPr>
        <w:spacing w:after="0" w:line="240" w:lineRule="auto"/>
        <w:ind w:left="410"/>
      </w:pPr>
    </w:p>
    <w:tbl>
      <w:tblPr>
        <w:tblStyle w:val="TableGrid"/>
        <w:tblW w:w="0" w:type="auto"/>
        <w:tblInd w:w="410" w:type="dxa"/>
        <w:tblLook w:val="04A0" w:firstRow="1" w:lastRow="0" w:firstColumn="1" w:lastColumn="0" w:noHBand="0" w:noVBand="1"/>
      </w:tblPr>
      <w:tblGrid>
        <w:gridCol w:w="2964"/>
        <w:gridCol w:w="5410"/>
      </w:tblGrid>
      <w:tr w:rsidR="00CB13A8" w14:paraId="2DDAB461" w14:textId="77777777" w:rsidTr="00CB13A8">
        <w:tc>
          <w:tcPr>
            <w:tcW w:w="2964" w:type="dxa"/>
          </w:tcPr>
          <w:p w14:paraId="4B59A075" w14:textId="77777777" w:rsidR="00CB13A8" w:rsidRPr="007451CA" w:rsidRDefault="00CB13A8" w:rsidP="002007D6">
            <w:pPr>
              <w:rPr>
                <w:b/>
                <w:bCs/>
              </w:rPr>
            </w:pPr>
            <w:r w:rsidRPr="007451CA">
              <w:rPr>
                <w:b/>
                <w:bCs/>
              </w:rPr>
              <w:t xml:space="preserve">Application Timing </w:t>
            </w:r>
          </w:p>
        </w:tc>
        <w:tc>
          <w:tcPr>
            <w:tcW w:w="5410" w:type="dxa"/>
          </w:tcPr>
          <w:p w14:paraId="2D5EEDEF" w14:textId="77777777" w:rsidR="00CB13A8" w:rsidRPr="007451CA" w:rsidRDefault="00CB13A8" w:rsidP="002007D6">
            <w:pPr>
              <w:rPr>
                <w:b/>
                <w:bCs/>
              </w:rPr>
            </w:pPr>
            <w:r w:rsidRPr="007451CA">
              <w:rPr>
                <w:b/>
                <w:bCs/>
              </w:rPr>
              <w:t>Refund</w:t>
            </w:r>
          </w:p>
        </w:tc>
      </w:tr>
      <w:tr w:rsidR="00CB13A8" w14:paraId="06BBD337" w14:textId="77777777" w:rsidTr="00CB13A8">
        <w:tc>
          <w:tcPr>
            <w:tcW w:w="2964" w:type="dxa"/>
          </w:tcPr>
          <w:p w14:paraId="3A46BCD0" w14:textId="699800F9" w:rsidR="00CB13A8" w:rsidRDefault="00CB13A8" w:rsidP="002007D6">
            <w:r>
              <w:t xml:space="preserve">Within 3 days of </w:t>
            </w:r>
            <w:r w:rsidR="009067F0">
              <w:t xml:space="preserve">individual </w:t>
            </w:r>
            <w:r>
              <w:t>registration</w:t>
            </w:r>
          </w:p>
        </w:tc>
        <w:tc>
          <w:tcPr>
            <w:tcW w:w="5410" w:type="dxa"/>
          </w:tcPr>
          <w:p w14:paraId="409DF48E" w14:textId="05D82081" w:rsidR="00CB13A8" w:rsidRDefault="00CB13A8" w:rsidP="002007D6">
            <w:r>
              <w:t xml:space="preserve">100% </w:t>
            </w:r>
          </w:p>
        </w:tc>
      </w:tr>
      <w:tr w:rsidR="00CB13A8" w14:paraId="40672B0D" w14:textId="77777777" w:rsidTr="00CB13A8">
        <w:tc>
          <w:tcPr>
            <w:tcW w:w="2964" w:type="dxa"/>
          </w:tcPr>
          <w:p w14:paraId="530D2776" w14:textId="3535BCC7" w:rsidR="00CB13A8" w:rsidRDefault="00CB13A8" w:rsidP="002007D6">
            <w:r>
              <w:lastRenderedPageBreak/>
              <w:t xml:space="preserve">3 days or more after </w:t>
            </w:r>
            <w:r w:rsidR="009067F0">
              <w:t xml:space="preserve">individual </w:t>
            </w:r>
            <w:r>
              <w:t>registration</w:t>
            </w:r>
          </w:p>
        </w:tc>
        <w:tc>
          <w:tcPr>
            <w:tcW w:w="5410" w:type="dxa"/>
          </w:tcPr>
          <w:p w14:paraId="01F573C6" w14:textId="77777777" w:rsidR="00CB13A8" w:rsidRDefault="00CB13A8" w:rsidP="002007D6">
            <w:r>
              <w:t>None</w:t>
            </w:r>
          </w:p>
        </w:tc>
      </w:tr>
    </w:tbl>
    <w:p w14:paraId="0331F669" w14:textId="136475DF" w:rsidR="007451CA" w:rsidRDefault="007451CA" w:rsidP="00010F11">
      <w:pPr>
        <w:spacing w:after="0" w:line="240" w:lineRule="auto"/>
      </w:pPr>
    </w:p>
    <w:sectPr w:rsidR="007451CA" w:rsidSect="00010F11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380"/>
    <w:multiLevelType w:val="hybridMultilevel"/>
    <w:tmpl w:val="68DA0EF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C027E81"/>
    <w:multiLevelType w:val="hybridMultilevel"/>
    <w:tmpl w:val="0FC663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E7AA0"/>
    <w:multiLevelType w:val="hybridMultilevel"/>
    <w:tmpl w:val="62D4C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3FE1"/>
    <w:multiLevelType w:val="hybridMultilevel"/>
    <w:tmpl w:val="E50E1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B70C7"/>
    <w:multiLevelType w:val="hybridMultilevel"/>
    <w:tmpl w:val="8A3A680E"/>
    <w:lvl w:ilvl="0" w:tplc="10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 w16cid:durableId="534849467">
    <w:abstractNumId w:val="3"/>
  </w:num>
  <w:num w:numId="2" w16cid:durableId="1689019665">
    <w:abstractNumId w:val="1"/>
  </w:num>
  <w:num w:numId="3" w16cid:durableId="83962903">
    <w:abstractNumId w:val="2"/>
  </w:num>
  <w:num w:numId="4" w16cid:durableId="1339235974">
    <w:abstractNumId w:val="0"/>
  </w:num>
  <w:num w:numId="5" w16cid:durableId="976910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7D"/>
    <w:rsid w:val="00010F11"/>
    <w:rsid w:val="002D0D7D"/>
    <w:rsid w:val="003450DE"/>
    <w:rsid w:val="005524AF"/>
    <w:rsid w:val="005B3BB0"/>
    <w:rsid w:val="007451CA"/>
    <w:rsid w:val="00785156"/>
    <w:rsid w:val="008008FD"/>
    <w:rsid w:val="0083691E"/>
    <w:rsid w:val="009067F0"/>
    <w:rsid w:val="00A557C8"/>
    <w:rsid w:val="00A81933"/>
    <w:rsid w:val="00C65DB0"/>
    <w:rsid w:val="00CB13A8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9351"/>
  <w15:chartTrackingRefBased/>
  <w15:docId w15:val="{8DCA13FF-EC8F-40FE-960C-CB73CDF5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4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5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ylingsmast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Hall</dc:creator>
  <cp:keywords/>
  <dc:description/>
  <cp:lastModifiedBy>Andrew Hall</cp:lastModifiedBy>
  <cp:revision>2</cp:revision>
  <dcterms:created xsi:type="dcterms:W3CDTF">2024-02-15T19:59:00Z</dcterms:created>
  <dcterms:modified xsi:type="dcterms:W3CDTF">2024-02-15T19:59:00Z</dcterms:modified>
</cp:coreProperties>
</file>